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ubtitel"/>
        <w:spacing w:before="60" w:after="120"/>
        <w:rPr>
          <w:lang w:val="nl-BE"/>
        </w:rPr>
      </w:pPr>
      <w:r>
        <w:rPr>
          <w:lang w:val="nl-BE"/>
        </w:rPr>
        <w:t>Norcon_MSD_7_9_1</w:t>
      </w:r>
    </w:p>
    <w:p>
      <w:pPr>
        <w:pStyle w:val="Titel"/>
        <w:rPr>
          <w:lang w:val="nl-BE"/>
        </w:rPr>
      </w:pPr>
      <w:r>
        <w:rPr>
          <w:lang w:val="nl-BE"/>
        </w:rPr>
        <w:t>Klachtenbehandeling</w:t>
        <w:br/>
        <w:t>–</w:t>
        <w:br/>
        <w:t>Procesbeschrijving</w:t>
      </w:r>
    </w:p>
    <w:p>
      <w:pPr>
        <w:pStyle w:val="Normal"/>
        <w:numPr>
          <w:ilvl w:val="0"/>
          <w:numId w:val="3"/>
        </w:numPr>
        <w:rPr/>
      </w:pPr>
      <w:r>
        <w:rPr/>
      </w:r>
    </w:p>
    <w:p>
      <w:pPr>
        <w:pStyle w:val="Kop1"/>
        <w:numPr>
          <w:ilvl w:val="0"/>
          <w:numId w:val="2"/>
        </w:numPr>
        <w:rPr/>
      </w:pPr>
      <w:r>
        <w:rPr/>
        <w:t>Stap 1 - Het ontvangen van een klacht</w:t>
      </w:r>
    </w:p>
    <w:p>
      <w:pPr>
        <w:pStyle w:val="Normal"/>
        <w:numPr>
          <w:ilvl w:val="0"/>
          <w:numId w:val="3"/>
        </w:numPr>
        <w:rPr/>
      </w:pPr>
      <w:r>
        <w:rPr/>
        <w:t xml:space="preserve">Een klacht kan via verschillende communicatiewegen toekomen: via brief, per mail of telefonisch. De ontvangst van de klacht kan door ieder personeelslid NORCON bv gebeuren. </w:t>
      </w:r>
    </w:p>
    <w:p>
      <w:pPr>
        <w:pStyle w:val="Normal"/>
        <w:numPr>
          <w:ilvl w:val="0"/>
          <w:numId w:val="3"/>
        </w:numPr>
        <w:rPr/>
      </w:pPr>
      <w:r>
        <w:rPr/>
      </w:r>
    </w:p>
    <w:p>
      <w:pPr>
        <w:pStyle w:val="Normal"/>
        <w:numPr>
          <w:ilvl w:val="0"/>
          <w:numId w:val="3"/>
        </w:numPr>
        <w:rPr/>
      </w:pPr>
      <w:r>
        <w:rPr/>
        <w:t xml:space="preserve">Indien een klacht mondeling wordt geformuleerd, wordt aan de klager gevraagd de klacht schriftelijk te formuleren. </w:t>
      </w:r>
    </w:p>
    <w:p>
      <w:pPr>
        <w:pStyle w:val="Normal"/>
        <w:numPr>
          <w:ilvl w:val="0"/>
          <w:numId w:val="3"/>
        </w:numPr>
        <w:rPr/>
      </w:pPr>
      <w:r>
        <w:rPr/>
      </w:r>
    </w:p>
    <w:p>
      <w:pPr>
        <w:pStyle w:val="Kop1"/>
        <w:numPr>
          <w:ilvl w:val="0"/>
          <w:numId w:val="2"/>
        </w:numPr>
        <w:rPr/>
      </w:pPr>
      <w:r>
        <w:rPr/>
        <w:t>Stap 2 - Het registreren van een klacht</w:t>
      </w:r>
    </w:p>
    <w:p>
      <w:pPr>
        <w:pStyle w:val="Normal"/>
        <w:numPr>
          <w:ilvl w:val="0"/>
          <w:numId w:val="3"/>
        </w:numPr>
        <w:rPr/>
      </w:pPr>
      <w:r>
        <w:rPr/>
        <w:t xml:space="preserve">Ieder personeelslid dat een klacht ontvangt, laat de klacht onmiddellijk in het klachtregistratiesysteem van NORCON bv registreren door middel van email naar de klachtenbehandelaar. Dit kan door een email te sturen naar </w:t>
      </w:r>
      <w:hyperlink r:id="rId2">
        <w:r>
          <w:rPr>
            <w:rStyle w:val="Internetkoppeling"/>
          </w:rPr>
          <w:t>info@norcon.be</w:t>
        </w:r>
      </w:hyperlink>
      <w:r>
        <w:rPr/>
        <w:t xml:space="preserve"> met vooraan in het onderwerp de melding “KLACHT”. Deze mailbox wordt door alle bestuurders van NORCON BV gelezen en bereikt dus steeds de klachentenbehandelaar en backup klachtenbehandelaar.</w:t>
      </w:r>
    </w:p>
    <w:p>
      <w:pPr>
        <w:pStyle w:val="Normal"/>
        <w:numPr>
          <w:ilvl w:val="0"/>
          <w:numId w:val="3"/>
        </w:numPr>
        <w:rPr/>
      </w:pPr>
      <w:r>
        <w:rPr/>
      </w:r>
    </w:p>
    <w:p>
      <w:pPr>
        <w:pStyle w:val="Normal"/>
        <w:numPr>
          <w:ilvl w:val="0"/>
          <w:numId w:val="3"/>
        </w:numPr>
        <w:rPr/>
      </w:pPr>
      <w:r>
        <w:rPr/>
        <w:t xml:space="preserve">Het tijdstip van de registratie geldt als aanvangspunt voor de behandelingstermijn van 6 weken. Hierbij worden alle relevante gegevens opgenomen: datum ontvangst - identificatie klager - omschrijving klacht. </w:t>
      </w:r>
    </w:p>
    <w:p>
      <w:pPr>
        <w:pStyle w:val="Normal"/>
        <w:numPr>
          <w:ilvl w:val="0"/>
          <w:numId w:val="3"/>
        </w:numPr>
        <w:rPr/>
      </w:pPr>
      <w:r>
        <w:rPr/>
      </w:r>
    </w:p>
    <w:p>
      <w:pPr>
        <w:pStyle w:val="Kop1"/>
        <w:numPr>
          <w:ilvl w:val="0"/>
          <w:numId w:val="2"/>
        </w:numPr>
        <w:rPr/>
      </w:pPr>
      <w:r>
        <w:rPr/>
        <w:t>Stap 3 – Ontvankelijkheidonderzoek</w:t>
      </w:r>
    </w:p>
    <w:p>
      <w:pPr>
        <w:pStyle w:val="Normal"/>
        <w:numPr>
          <w:ilvl w:val="0"/>
          <w:numId w:val="3"/>
        </w:numPr>
        <w:rPr/>
      </w:pPr>
      <w:r>
        <w:rPr/>
        <w:t xml:space="preserve">Vooraleer een klacht wordt behandeld, oordeelt de klachtenbehandelaar of de klacht ontvankelijk is. De klacht is onontvankelijk indien het gaat om: </w:t>
      </w:r>
    </w:p>
    <w:p>
      <w:pPr>
        <w:pStyle w:val="ListParagraph"/>
        <w:numPr>
          <w:ilvl w:val="0"/>
          <w:numId w:val="4"/>
        </w:numPr>
        <w:rPr/>
      </w:pPr>
      <w:r>
        <w:rPr/>
        <w:t>anonieme klachten;</w:t>
      </w:r>
    </w:p>
    <w:p>
      <w:pPr>
        <w:pStyle w:val="ListParagraph"/>
        <w:numPr>
          <w:ilvl w:val="0"/>
          <w:numId w:val="4"/>
        </w:numPr>
        <w:rPr/>
      </w:pPr>
      <w:r>
        <w:rPr/>
        <w:t>vage klachten;</w:t>
      </w:r>
    </w:p>
    <w:p>
      <w:pPr>
        <w:pStyle w:val="ListParagraph"/>
        <w:numPr>
          <w:ilvl w:val="0"/>
          <w:numId w:val="4"/>
        </w:numPr>
        <w:rPr/>
      </w:pPr>
      <w:r>
        <w:rPr/>
        <w:t xml:space="preserve">klachten over materie waarvoor NORCON bv geen bevoegdheid heeft. </w:t>
      </w:r>
    </w:p>
    <w:p>
      <w:pPr>
        <w:pStyle w:val="Normal"/>
        <w:numPr>
          <w:ilvl w:val="0"/>
          <w:numId w:val="3"/>
        </w:numPr>
        <w:rPr/>
      </w:pPr>
      <w:r>
        <w:rPr/>
        <w:t xml:space="preserve">De klachtenbehandelaar vraagt het advies van </w:t>
      </w:r>
      <w:r>
        <w:rPr>
          <w:rFonts w:eastAsia="SimSun" w:cs="Mangal"/>
          <w:color w:val="auto"/>
          <w:kern w:val="2"/>
          <w:sz w:val="24"/>
          <w:szCs w:val="24"/>
          <w:lang w:val="en-US" w:eastAsia="zh-CN" w:bidi="hi-IN"/>
        </w:rPr>
        <w:t>het managementteam</w:t>
      </w:r>
      <w:r>
        <w:rPr/>
        <w:t xml:space="preserve"> indien er discussie kan zijn omtrent de ontvankelijkheid van de klacht. </w:t>
      </w:r>
    </w:p>
    <w:p>
      <w:pPr>
        <w:pStyle w:val="Kop1"/>
        <w:numPr>
          <w:ilvl w:val="0"/>
          <w:numId w:val="2"/>
        </w:numPr>
        <w:rPr/>
      </w:pPr>
      <w:r>
        <w:rPr/>
        <w:t xml:space="preserve">Stap 4 - Ontvangstmelding </w:t>
      </w:r>
    </w:p>
    <w:p>
      <w:pPr>
        <w:pStyle w:val="Normal"/>
        <w:numPr>
          <w:ilvl w:val="0"/>
          <w:numId w:val="3"/>
        </w:numPr>
        <w:rPr/>
      </w:pPr>
      <w:r>
        <w:rPr/>
        <w:t>De klachtenbehandelaar brengt de klager met een ontvangstmelding op de hoogte van zijn beslissing omtrent de ontvankelijkheid van de klacht.</w:t>
      </w:r>
    </w:p>
    <w:p>
      <w:pPr>
        <w:pStyle w:val="Normal"/>
        <w:numPr>
          <w:ilvl w:val="0"/>
          <w:numId w:val="3"/>
        </w:numPr>
        <w:rPr/>
      </w:pPr>
      <w:r>
        <w:rPr/>
      </w:r>
    </w:p>
    <w:p>
      <w:pPr>
        <w:pStyle w:val="Normal"/>
        <w:numPr>
          <w:ilvl w:val="0"/>
          <w:numId w:val="3"/>
        </w:numPr>
        <w:rPr/>
      </w:pPr>
      <w:r>
        <w:rPr/>
        <w:t xml:space="preserve">Indien de klacht niet ontvankelijk is, wordt de reden van niet verdere afhandeling in het antwoord vermeld. Indien de klacht ontvankelijk is, wordt de klager op de hoogte gebracht van de termijn waarbinnen de klacht wordt afgehandeld. </w:t>
      </w:r>
    </w:p>
    <w:p>
      <w:pPr>
        <w:pStyle w:val="Normal"/>
        <w:numPr>
          <w:ilvl w:val="0"/>
          <w:numId w:val="3"/>
        </w:numPr>
        <w:rPr/>
      </w:pPr>
      <w:r>
        <w:rPr/>
      </w:r>
    </w:p>
    <w:p>
      <w:pPr>
        <w:pStyle w:val="Normal"/>
        <w:numPr>
          <w:ilvl w:val="0"/>
          <w:numId w:val="3"/>
        </w:numPr>
        <w:rPr/>
      </w:pPr>
      <w:r>
        <w:rPr/>
        <w:t xml:space="preserve">De klachtenbehandelaar verstrekt tegelijkertijd informatie over de verdere klachtenprocedure, waarbij </w:t>
      </w:r>
      <w:r>
        <w:rPr>
          <w:rFonts w:eastAsia="SimSun" w:cs="Mangal"/>
          <w:color w:val="auto"/>
          <w:kern w:val="2"/>
          <w:sz w:val="24"/>
          <w:szCs w:val="24"/>
          <w:lang w:val="en-US" w:eastAsia="zh-CN" w:bidi="hi-IN"/>
        </w:rPr>
        <w:t>met name</w:t>
      </w:r>
      <w:r>
        <w:rPr/>
        <w:t xml:space="preserve"> aangegeven wordt wie verantwoordelijk is voor de behandeling van de klacht en wat de termijn is. </w:t>
      </w:r>
    </w:p>
    <w:p>
      <w:pPr>
        <w:pStyle w:val="Normal"/>
        <w:numPr>
          <w:ilvl w:val="0"/>
          <w:numId w:val="3"/>
        </w:numPr>
        <w:rPr/>
      </w:pPr>
      <w:r>
        <w:rPr/>
      </w:r>
    </w:p>
    <w:p>
      <w:pPr>
        <w:pStyle w:val="Kop1"/>
        <w:numPr>
          <w:ilvl w:val="0"/>
          <w:numId w:val="2"/>
        </w:numPr>
        <w:rPr/>
      </w:pPr>
      <w:r>
        <w:rPr/>
        <w:t xml:space="preserve">Stap 5 – Het onderzoeken van een klacht </w:t>
      </w:r>
    </w:p>
    <w:p>
      <w:pPr>
        <w:pStyle w:val="Normal"/>
        <w:numPr>
          <w:ilvl w:val="0"/>
          <w:numId w:val="3"/>
        </w:numPr>
        <w:rPr/>
      </w:pPr>
      <w:r>
        <w:rPr/>
        <w:t xml:space="preserve">De klachtenbehandelaar stelt een onderzoek in naar de gegrondheid en de achterliggende oorzaak van de klacht. Indien de voorgestelde termijn niet behaald wordt, dient de klachtenbehandelaar aan de klager te melden waarom de klacht nog niet werd afgehandeld. </w:t>
      </w:r>
    </w:p>
    <w:p>
      <w:pPr>
        <w:pStyle w:val="Normal"/>
        <w:numPr>
          <w:ilvl w:val="0"/>
          <w:numId w:val="3"/>
        </w:numPr>
        <w:rPr/>
      </w:pPr>
      <w:r>
        <w:rPr/>
        <w:t xml:space="preserve">De klachtenbehandelaar voert zijn onderzoek uit. </w:t>
      </w:r>
      <w:r>
        <w:rPr/>
        <w:t>Indien tijdens het onderzoek van de klacht een afwijking wordt vastgesteld, wordt ook de afwijkingsprocedure (Norcon_MSD_7_10) opgestart. Deze procedure helpt zowel bij het in kaart brengen en beperken van de directe gevolgen van de afwijkingen als het opstarten en controleren van corrigerende maatregelen.</w:t>
      </w:r>
    </w:p>
    <w:p>
      <w:pPr>
        <w:pStyle w:val="Normal"/>
        <w:numPr>
          <w:ilvl w:val="0"/>
          <w:numId w:val="3"/>
        </w:numPr>
        <w:rPr/>
      </w:pPr>
      <w:r>
        <w:rPr/>
      </w:r>
    </w:p>
    <w:p>
      <w:pPr>
        <w:pStyle w:val="Kop1"/>
        <w:numPr>
          <w:ilvl w:val="0"/>
          <w:numId w:val="2"/>
        </w:numPr>
        <w:rPr/>
      </w:pPr>
      <w:r>
        <w:rPr/>
        <w:t>Stap 6 – Antwoord aan de klager</w:t>
      </w:r>
    </w:p>
    <w:p>
      <w:pPr>
        <w:pStyle w:val="Normal"/>
        <w:numPr>
          <w:ilvl w:val="0"/>
          <w:numId w:val="3"/>
        </w:numPr>
        <w:rPr/>
      </w:pPr>
      <w:r>
        <w:rPr/>
        <w:t>Vervolgens stelt de klachtenbehandelaar een gemotiveerde brief voor de klager op. Deze bevat de beoordeling van de klacht en, indien van toepassing,de ondernomen maatregelen en/of het voorstel van oplossing.</w:t>
      </w:r>
    </w:p>
    <w:p>
      <w:pPr>
        <w:pStyle w:val="Normal"/>
        <w:rPr>
          <w:highlight w:val="yellow"/>
        </w:rPr>
      </w:pPr>
      <w:r>
        <w:rPr>
          <w:highlight w:val="yellow"/>
        </w:rPr>
      </w:r>
    </w:p>
    <w:p>
      <w:pPr>
        <w:pStyle w:val="Tekstblok"/>
        <w:rPr/>
      </w:pPr>
      <w:r>
        <w:rPr>
          <w:lang w:val="nl-BE"/>
        </w:rPr>
        <w:t xml:space="preserve">Alvorens </w:t>
      </w:r>
      <w:r>
        <w:rPr>
          <w:rFonts w:eastAsia="SimSun" w:cs="Mangal"/>
          <w:color w:val="000000"/>
          <w:kern w:val="2"/>
          <w:sz w:val="24"/>
          <w:szCs w:val="24"/>
          <w:lang w:val="nl-BE" w:eastAsia="zh-CN" w:bidi="hi-IN"/>
        </w:rPr>
        <w:t>deze brief</w:t>
      </w:r>
      <w:r>
        <w:rPr>
          <w:lang w:val="nl-BE"/>
        </w:rPr>
        <w:t xml:space="preserve"> aan de klager te </w:t>
      </w:r>
      <w:r>
        <w:rPr>
          <w:rFonts w:eastAsia="SimSun" w:cs="Mangal"/>
          <w:color w:val="000000"/>
          <w:kern w:val="2"/>
          <w:sz w:val="24"/>
          <w:szCs w:val="24"/>
          <w:lang w:val="nl-BE" w:eastAsia="zh-CN" w:bidi="hi-IN"/>
        </w:rPr>
        <w:t>bezorgen</w:t>
      </w:r>
      <w:r>
        <w:rPr>
          <w:lang w:val="nl-BE"/>
        </w:rPr>
        <w:t>, zal de klachtenbehandelaar zijn voorgestelde uitkomst voorleggen aan een medewerker van NORCON BV die niet betrokken was bij de klachtenbehandeling en -in tegenstelling tot de klachtenbehandelaar- zo weinig mogelijk betrokken was bij het onderwerp van de klacht.</w:t>
      </w:r>
    </w:p>
    <w:p>
      <w:pPr>
        <w:pStyle w:val="Tekstblok"/>
        <w:rPr/>
      </w:pPr>
      <w:r>
        <w:rPr>
          <w:lang w:val="nl-BE"/>
        </w:rPr>
        <w:t>Na goedkeuring van deze onafhankelijke persoon kan de uitkomst dan worden gecommuniceerd naar de klager.</w:t>
      </w:r>
    </w:p>
    <w:p>
      <w:pPr>
        <w:pStyle w:val="Normal"/>
        <w:numPr>
          <w:ilvl w:val="0"/>
          <w:numId w:val="3"/>
        </w:numPr>
        <w:rPr/>
      </w:pPr>
      <w:r>
        <w:rPr/>
      </w:r>
    </w:p>
    <w:p>
      <w:pPr>
        <w:pStyle w:val="Normal"/>
        <w:numPr>
          <w:ilvl w:val="0"/>
          <w:numId w:val="3"/>
        </w:numPr>
        <w:rPr/>
      </w:pPr>
      <w:r>
        <w:rPr/>
      </w:r>
    </w:p>
    <w:p>
      <w:pPr>
        <w:pStyle w:val="Kop1"/>
        <w:numPr>
          <w:ilvl w:val="0"/>
          <w:numId w:val="2"/>
        </w:numPr>
        <w:rPr/>
      </w:pPr>
      <w:r>
        <w:rPr/>
        <w:t>Stap 7 – Registeren van de afhandeling</w:t>
      </w:r>
    </w:p>
    <w:p>
      <w:pPr>
        <w:pStyle w:val="Normal"/>
        <w:numPr>
          <w:ilvl w:val="0"/>
          <w:numId w:val="3"/>
        </w:numPr>
        <w:rPr/>
      </w:pPr>
      <w:r>
        <w:rPr/>
        <w:t xml:space="preserve">De klachtenbehandelaar registreert de afhandeling van de klacht in het klachtregistratiesysteem. In dat klachtenrapport vermeldt hij de beoordeling van de klacht en de ondernomen maatregelen of het voorstel van oplossing. </w:t>
      </w:r>
    </w:p>
    <w:p>
      <w:pPr>
        <w:pStyle w:val="Normal"/>
        <w:numPr>
          <w:ilvl w:val="0"/>
          <w:numId w:val="3"/>
        </w:numPr>
        <w:rPr/>
      </w:pPr>
      <w:r>
        <w:rPr/>
      </w:r>
    </w:p>
    <w:p>
      <w:pPr>
        <w:pStyle w:val="Kop1"/>
        <w:numPr>
          <w:ilvl w:val="0"/>
          <w:numId w:val="2"/>
        </w:numPr>
        <w:rPr/>
      </w:pPr>
      <w:r>
        <w:rPr/>
        <w:t xml:space="preserve">Stap 8 – Het opvolgen van een klacht </w:t>
      </w:r>
    </w:p>
    <w:p>
      <w:pPr>
        <w:pStyle w:val="Normal"/>
        <w:numPr>
          <w:ilvl w:val="0"/>
          <w:numId w:val="3"/>
        </w:numPr>
        <w:rPr>
          <w:lang w:val="nl-BE"/>
        </w:rPr>
      </w:pPr>
      <w:r>
        <w:rPr>
          <w:lang w:val="nl-BE"/>
        </w:rPr>
        <w:t xml:space="preserve">Zesmaandelijks maakt de klachtenbehandelaar, indien er nieuwe klachten zijn, een verslag van de behandelde klachten en voorstellen tot verbetering. Hij rapporteert aan het managementteam. Dit verslag maakt ook melding van de onontvankelijk verklaarde klachten en de motivering van de onontvankelijkheid. </w:t>
      </w:r>
    </w:p>
    <w:p>
      <w:pPr>
        <w:pStyle w:val="Normal"/>
        <w:numPr>
          <w:ilvl w:val="0"/>
          <w:numId w:val="3"/>
        </w:numPr>
        <w:rPr>
          <w:lang w:val="nl-BE"/>
        </w:rPr>
      </w:pPr>
      <w:r>
        <w:rPr>
          <w:lang w:val="nl-BE"/>
        </w:rPr>
        <w:t xml:space="preserve">Indien de klacht het gevolg is van het niet naleven van de procedures zoals vastgelegd in norcon.be/ManSys, zal het management van NORCON BV </w:t>
      </w:r>
      <w:r>
        <w:rPr>
          <w:rFonts w:eastAsia="SimSun" w:cs="Mangal"/>
          <w:color w:val="auto"/>
          <w:kern w:val="2"/>
          <w:sz w:val="24"/>
          <w:szCs w:val="24"/>
          <w:lang w:val="en-US" w:eastAsia="zh-CN" w:bidi="hi-IN"/>
        </w:rPr>
        <w:t>een emailcommunicatie sturen waarin de aandacht op de betreffende procedure gevestigd wordt. Deze communicatie wordt gericht aan alle personeelsleden die betreffende procedure nodig hebben bij het uitvoeren van hun verantwoordelijkheden.</w:t>
      </w:r>
      <w:r>
        <w:br w:type="page"/>
      </w:r>
    </w:p>
    <w:p>
      <w:pPr>
        <w:pStyle w:val="Normal"/>
        <w:rPr>
          <w:lang w:val="nl-BE"/>
        </w:rPr>
      </w:pPr>
      <w:r>
        <w:rPr>
          <w:lang w:val="nl-BE"/>
        </w:rPr>
        <w:t>Versiegeschiedenis</w:t>
      </w:r>
    </w:p>
    <w:p>
      <w:pPr>
        <w:pStyle w:val="Normal"/>
        <w:rPr>
          <w:lang w:val="nl-BE"/>
        </w:rPr>
      </w:pPr>
      <w:r>
        <w:rPr>
          <w:lang w:val="nl-BE"/>
        </w:rPr>
      </w:r>
    </w:p>
    <w:tbl>
      <w:tblPr>
        <w:tblW w:w="9975" w:type="dxa"/>
        <w:jc w:val="left"/>
        <w:tblInd w:w="55" w:type="dxa"/>
        <w:tblCellMar>
          <w:top w:w="55" w:type="dxa"/>
          <w:left w:w="55" w:type="dxa"/>
          <w:bottom w:w="55" w:type="dxa"/>
          <w:right w:w="55" w:type="dxa"/>
        </w:tblCellMar>
        <w:tblLook w:firstRow="1" w:noVBand="1" w:lastRow="0" w:firstColumn="1" w:lastColumn="0" w:noHBand="0" w:val="04a0"/>
      </w:tblPr>
      <w:tblGrid>
        <w:gridCol w:w="1185"/>
        <w:gridCol w:w="2440"/>
        <w:gridCol w:w="6350"/>
      </w:tblGrid>
      <w:tr>
        <w:trPr/>
        <w:tc>
          <w:tcPr>
            <w:tcW w:w="1185" w:type="dxa"/>
            <w:tcBorders>
              <w:top w:val="single" w:sz="2" w:space="0" w:color="000000"/>
              <w:left w:val="single" w:sz="2" w:space="0" w:color="000000"/>
              <w:bottom w:val="single" w:sz="2" w:space="0" w:color="000000"/>
            </w:tcBorders>
          </w:tcPr>
          <w:p>
            <w:pPr>
              <w:pStyle w:val="Inhoudtabel"/>
              <w:rPr>
                <w:b/>
                <w:b/>
                <w:bCs/>
                <w:lang w:val="nl-BE"/>
              </w:rPr>
            </w:pPr>
            <w:r>
              <w:rPr>
                <w:b/>
                <w:bCs/>
                <w:lang w:val="nl-BE"/>
              </w:rPr>
              <w:t>Versie</w:t>
            </w:r>
          </w:p>
        </w:tc>
        <w:tc>
          <w:tcPr>
            <w:tcW w:w="2440" w:type="dxa"/>
            <w:tcBorders>
              <w:top w:val="single" w:sz="2" w:space="0" w:color="000000"/>
              <w:left w:val="single" w:sz="2" w:space="0" w:color="000000"/>
              <w:bottom w:val="single" w:sz="2" w:space="0" w:color="000000"/>
            </w:tcBorders>
          </w:tcPr>
          <w:p>
            <w:pPr>
              <w:pStyle w:val="Inhoudtabel"/>
              <w:rPr>
                <w:b/>
                <w:b/>
                <w:bCs/>
                <w:lang w:val="nl-BE"/>
              </w:rPr>
            </w:pPr>
            <w:r>
              <w:rPr>
                <w:b/>
                <w:bCs/>
                <w:lang w:val="nl-BE"/>
              </w:rPr>
              <w:t>Datum JJJJ/MM/DD</w:t>
            </w:r>
          </w:p>
        </w:tc>
        <w:tc>
          <w:tcPr>
            <w:tcW w:w="6350" w:type="dxa"/>
            <w:tcBorders>
              <w:top w:val="single" w:sz="2" w:space="0" w:color="000000"/>
              <w:left w:val="single" w:sz="2" w:space="0" w:color="000000"/>
              <w:bottom w:val="single" w:sz="2" w:space="0" w:color="000000"/>
              <w:right w:val="single" w:sz="2" w:space="0" w:color="000000"/>
            </w:tcBorders>
          </w:tcPr>
          <w:p>
            <w:pPr>
              <w:pStyle w:val="Inhoudtabel"/>
              <w:rPr>
                <w:b/>
                <w:b/>
                <w:bCs/>
                <w:lang w:val="nl-BE"/>
              </w:rPr>
            </w:pPr>
            <w:r>
              <w:rPr>
                <w:b/>
                <w:bCs/>
                <w:lang w:val="nl-BE"/>
              </w:rPr>
              <w:t>Wijzigingen</w:t>
            </w:r>
          </w:p>
        </w:tc>
      </w:tr>
      <w:tr>
        <w:trPr/>
        <w:tc>
          <w:tcPr>
            <w:tcW w:w="1185" w:type="dxa"/>
            <w:tcBorders>
              <w:left w:val="single" w:sz="2" w:space="0" w:color="000000"/>
              <w:bottom w:val="single" w:sz="2" w:space="0" w:color="000000"/>
            </w:tcBorders>
          </w:tcPr>
          <w:p>
            <w:pPr>
              <w:pStyle w:val="Inhoudtabel"/>
              <w:rPr>
                <w:lang w:val="nl-BE"/>
              </w:rPr>
            </w:pPr>
            <w:r>
              <w:rPr>
                <w:lang w:val="nl-BE"/>
              </w:rPr>
              <w:t>V1.0</w:t>
            </w:r>
          </w:p>
        </w:tc>
        <w:tc>
          <w:tcPr>
            <w:tcW w:w="2440" w:type="dxa"/>
            <w:tcBorders>
              <w:left w:val="single" w:sz="2" w:space="0" w:color="000000"/>
              <w:bottom w:val="single" w:sz="2" w:space="0" w:color="000000"/>
            </w:tcBorders>
          </w:tcPr>
          <w:p>
            <w:pPr>
              <w:pStyle w:val="Inhoudtabel"/>
              <w:rPr>
                <w:lang w:val="nl-BE"/>
              </w:rPr>
            </w:pPr>
            <w:r>
              <w:rPr>
                <w:lang w:val="nl-BE"/>
              </w:rPr>
              <w:t>2021/1</w:t>
            </w:r>
            <w:r>
              <w:rPr>
                <w:sz w:val="24"/>
                <w:lang w:val="nl-BE"/>
              </w:rPr>
              <w:t>2</w:t>
            </w:r>
            <w:r>
              <w:rPr>
                <w:lang w:val="nl-BE"/>
              </w:rPr>
              <w:t>/0</w:t>
            </w:r>
            <w:r>
              <w:rPr>
                <w:sz w:val="24"/>
                <w:lang w:val="nl-BE"/>
              </w:rPr>
              <w:t>6</w:t>
            </w:r>
          </w:p>
        </w:tc>
        <w:tc>
          <w:tcPr>
            <w:tcW w:w="6350" w:type="dxa"/>
            <w:tcBorders>
              <w:left w:val="single" w:sz="2" w:space="0" w:color="000000"/>
              <w:bottom w:val="single" w:sz="2" w:space="0" w:color="000000"/>
              <w:right w:val="single" w:sz="2" w:space="0" w:color="000000"/>
            </w:tcBorders>
          </w:tcPr>
          <w:p>
            <w:pPr>
              <w:pStyle w:val="Inhoudtabel"/>
              <w:rPr>
                <w:lang w:val="nl-BE"/>
              </w:rPr>
            </w:pPr>
            <w:r>
              <w:rPr>
                <w:lang w:val="nl-BE"/>
              </w:rPr>
              <w:t>Initiële versie</w:t>
            </w:r>
          </w:p>
        </w:tc>
      </w:tr>
      <w:tr>
        <w:trPr/>
        <w:tc>
          <w:tcPr>
            <w:tcW w:w="1185" w:type="dxa"/>
            <w:tcBorders>
              <w:left w:val="single" w:sz="2" w:space="0" w:color="000000"/>
              <w:bottom w:val="single" w:sz="2" w:space="0" w:color="000000"/>
            </w:tcBorders>
          </w:tcPr>
          <w:p>
            <w:pPr>
              <w:pStyle w:val="Inhoudtabel"/>
              <w:rPr>
                <w:lang w:val="nl-BE"/>
              </w:rPr>
            </w:pPr>
            <w:r>
              <w:rPr>
                <w:lang w:val="nl-BE"/>
              </w:rPr>
              <w:t>V1.1</w:t>
            </w:r>
          </w:p>
        </w:tc>
        <w:tc>
          <w:tcPr>
            <w:tcW w:w="2440" w:type="dxa"/>
            <w:tcBorders>
              <w:left w:val="single" w:sz="2" w:space="0" w:color="000000"/>
              <w:bottom w:val="single" w:sz="2" w:space="0" w:color="000000"/>
            </w:tcBorders>
          </w:tcPr>
          <w:p>
            <w:pPr>
              <w:pStyle w:val="Inhoudtabel"/>
              <w:rPr>
                <w:lang w:val="nl-BE"/>
              </w:rPr>
            </w:pPr>
            <w:r>
              <w:rPr>
                <w:lang w:val="nl-BE"/>
              </w:rPr>
              <w:t>2021/12/15</w:t>
            </w:r>
          </w:p>
        </w:tc>
        <w:tc>
          <w:tcPr>
            <w:tcW w:w="6350" w:type="dxa"/>
            <w:tcBorders>
              <w:left w:val="single" w:sz="2" w:space="0" w:color="000000"/>
              <w:bottom w:val="single" w:sz="2" w:space="0" w:color="000000"/>
              <w:right w:val="single" w:sz="2" w:space="0" w:color="000000"/>
            </w:tcBorders>
          </w:tcPr>
          <w:p>
            <w:pPr>
              <w:pStyle w:val="Inhoudtabel"/>
              <w:rPr>
                <w:lang w:val="nl-BE"/>
              </w:rPr>
            </w:pPr>
            <w:r>
              <w:rPr>
                <w:lang w:val="nl-BE"/>
              </w:rPr>
              <w:t>Communicatie rond naleven procedures toegevoegd (stap 8)</w:t>
            </w:r>
          </w:p>
        </w:tc>
      </w:tr>
      <w:tr>
        <w:trPr/>
        <w:tc>
          <w:tcPr>
            <w:tcW w:w="1185" w:type="dxa"/>
            <w:tcBorders>
              <w:left w:val="single" w:sz="2" w:space="0" w:color="000000"/>
              <w:bottom w:val="single" w:sz="2" w:space="0" w:color="000000"/>
            </w:tcBorders>
          </w:tcPr>
          <w:p>
            <w:pPr>
              <w:pStyle w:val="Inhoudtabel"/>
              <w:rPr>
                <w:lang w:val="nl-BE"/>
              </w:rPr>
            </w:pPr>
            <w:r>
              <w:rPr>
                <w:lang w:val="nl-BE"/>
              </w:rPr>
              <w:t>V1.2</w:t>
            </w:r>
          </w:p>
        </w:tc>
        <w:tc>
          <w:tcPr>
            <w:tcW w:w="2440" w:type="dxa"/>
            <w:tcBorders>
              <w:left w:val="single" w:sz="2" w:space="0" w:color="000000"/>
              <w:bottom w:val="single" w:sz="2" w:space="0" w:color="000000"/>
            </w:tcBorders>
          </w:tcPr>
          <w:p>
            <w:pPr>
              <w:pStyle w:val="Inhoudtabel"/>
              <w:rPr>
                <w:lang w:val="nl-BE"/>
              </w:rPr>
            </w:pPr>
            <w:r>
              <w:rPr>
                <w:lang w:val="nl-BE"/>
              </w:rPr>
              <w:t>2022/03/23</w:t>
            </w:r>
          </w:p>
        </w:tc>
        <w:tc>
          <w:tcPr>
            <w:tcW w:w="6350" w:type="dxa"/>
            <w:tcBorders>
              <w:left w:val="single" w:sz="2" w:space="0" w:color="000000"/>
              <w:bottom w:val="single" w:sz="2" w:space="0" w:color="000000"/>
              <w:right w:val="single" w:sz="2" w:space="0" w:color="000000"/>
            </w:tcBorders>
          </w:tcPr>
          <w:p>
            <w:pPr>
              <w:pStyle w:val="Inhoudtabel"/>
              <w:rPr>
                <w:lang w:val="nl-BE"/>
              </w:rPr>
            </w:pPr>
            <w:r>
              <w:rPr>
                <w:lang w:val="nl-BE"/>
              </w:rPr>
              <w:t>Validatie door onafhankelijk persoon toegevoegd aan stap 6.</w:t>
            </w:r>
          </w:p>
        </w:tc>
      </w:tr>
      <w:tr>
        <w:trPr/>
        <w:tc>
          <w:tcPr>
            <w:tcW w:w="1185" w:type="dxa"/>
            <w:tcBorders>
              <w:left w:val="single" w:sz="2" w:space="0" w:color="000000"/>
              <w:bottom w:val="single" w:sz="2" w:space="0" w:color="000000"/>
            </w:tcBorders>
          </w:tcPr>
          <w:p>
            <w:pPr>
              <w:pStyle w:val="Inhoudtabel"/>
              <w:rPr>
                <w:lang w:val="nl-BE"/>
              </w:rPr>
            </w:pPr>
            <w:r>
              <w:rPr>
                <w:lang w:val="nl-BE"/>
              </w:rPr>
              <w:t>V1.3</w:t>
            </w:r>
          </w:p>
        </w:tc>
        <w:tc>
          <w:tcPr>
            <w:tcW w:w="2440" w:type="dxa"/>
            <w:tcBorders>
              <w:left w:val="single" w:sz="2" w:space="0" w:color="000000"/>
              <w:bottom w:val="single" w:sz="2" w:space="0" w:color="000000"/>
            </w:tcBorders>
          </w:tcPr>
          <w:p>
            <w:pPr>
              <w:pStyle w:val="Inhoudtabel"/>
              <w:rPr>
                <w:lang w:val="nl-BE"/>
              </w:rPr>
            </w:pPr>
            <w:r>
              <w:rPr>
                <w:lang w:val="nl-BE"/>
              </w:rPr>
              <w:t>2022/04/14</w:t>
            </w:r>
          </w:p>
        </w:tc>
        <w:tc>
          <w:tcPr>
            <w:tcW w:w="6350" w:type="dxa"/>
            <w:tcBorders>
              <w:left w:val="single" w:sz="2" w:space="0" w:color="000000"/>
              <w:bottom w:val="single" w:sz="2" w:space="0" w:color="000000"/>
              <w:right w:val="single" w:sz="2" w:space="0" w:color="000000"/>
            </w:tcBorders>
          </w:tcPr>
          <w:p>
            <w:pPr>
              <w:pStyle w:val="Inhoudtabel"/>
              <w:rPr>
                <w:lang w:val="nl-BE"/>
              </w:rPr>
            </w:pPr>
            <w:r>
              <w:rPr>
                <w:lang w:val="nl-BE"/>
              </w:rPr>
              <w:t>Verwijzing naar Norcon_MSD_7_10 toegevoegd.</w:t>
            </w:r>
          </w:p>
        </w:tc>
      </w:tr>
      <w:tr>
        <w:trPr/>
        <w:tc>
          <w:tcPr>
            <w:tcW w:w="1185" w:type="dxa"/>
            <w:tcBorders>
              <w:left w:val="single" w:sz="2" w:space="0" w:color="000000"/>
              <w:bottom w:val="single" w:sz="2" w:space="0" w:color="000000"/>
            </w:tcBorders>
          </w:tcPr>
          <w:p>
            <w:pPr>
              <w:pStyle w:val="Inhoudtabel"/>
              <w:rPr>
                <w:lang w:val="nl-BE"/>
              </w:rPr>
            </w:pPr>
            <w:r>
              <w:rPr>
                <w:lang w:val="nl-BE"/>
              </w:rPr>
            </w:r>
          </w:p>
        </w:tc>
        <w:tc>
          <w:tcPr>
            <w:tcW w:w="2440" w:type="dxa"/>
            <w:tcBorders>
              <w:left w:val="single" w:sz="2" w:space="0" w:color="000000"/>
              <w:bottom w:val="single" w:sz="2" w:space="0" w:color="000000"/>
            </w:tcBorders>
          </w:tcPr>
          <w:p>
            <w:pPr>
              <w:pStyle w:val="Inhoudtabel"/>
              <w:rPr>
                <w:lang w:val="nl-BE"/>
              </w:rPr>
            </w:pPr>
            <w:r>
              <w:rPr>
                <w:lang w:val="nl-BE"/>
              </w:rPr>
            </w:r>
          </w:p>
        </w:tc>
        <w:tc>
          <w:tcPr>
            <w:tcW w:w="6350" w:type="dxa"/>
            <w:tcBorders>
              <w:left w:val="single" w:sz="2" w:space="0" w:color="000000"/>
              <w:bottom w:val="single" w:sz="2" w:space="0" w:color="000000"/>
              <w:right w:val="single" w:sz="2" w:space="0" w:color="000000"/>
            </w:tcBorders>
          </w:tcPr>
          <w:p>
            <w:pPr>
              <w:pStyle w:val="Inhoudtabel"/>
              <w:rPr>
                <w:lang w:val="nl-BE"/>
              </w:rPr>
            </w:pPr>
            <w:r>
              <w:rPr>
                <w:lang w:val="nl-BE"/>
              </w:rPr>
            </w:r>
          </w:p>
        </w:tc>
      </w:tr>
      <w:tr>
        <w:trPr/>
        <w:tc>
          <w:tcPr>
            <w:tcW w:w="1185" w:type="dxa"/>
            <w:tcBorders>
              <w:left w:val="single" w:sz="2" w:space="0" w:color="000000"/>
              <w:bottom w:val="single" w:sz="2" w:space="0" w:color="000000"/>
            </w:tcBorders>
          </w:tcPr>
          <w:p>
            <w:pPr>
              <w:pStyle w:val="Inhoudtabel"/>
              <w:rPr>
                <w:lang w:val="nl-BE"/>
              </w:rPr>
            </w:pPr>
            <w:r>
              <w:rPr>
                <w:lang w:val="nl-BE"/>
              </w:rPr>
            </w:r>
          </w:p>
        </w:tc>
        <w:tc>
          <w:tcPr>
            <w:tcW w:w="2440" w:type="dxa"/>
            <w:tcBorders>
              <w:left w:val="single" w:sz="2" w:space="0" w:color="000000"/>
              <w:bottom w:val="single" w:sz="2" w:space="0" w:color="000000"/>
            </w:tcBorders>
          </w:tcPr>
          <w:p>
            <w:pPr>
              <w:pStyle w:val="Inhoudtabel"/>
              <w:rPr>
                <w:lang w:val="nl-BE"/>
              </w:rPr>
            </w:pPr>
            <w:r>
              <w:rPr>
                <w:lang w:val="nl-BE"/>
              </w:rPr>
            </w:r>
          </w:p>
        </w:tc>
        <w:tc>
          <w:tcPr>
            <w:tcW w:w="6350" w:type="dxa"/>
            <w:tcBorders>
              <w:left w:val="single" w:sz="2" w:space="0" w:color="000000"/>
              <w:bottom w:val="single" w:sz="2" w:space="0" w:color="000000"/>
              <w:right w:val="single" w:sz="2" w:space="0" w:color="000000"/>
            </w:tcBorders>
          </w:tcPr>
          <w:p>
            <w:pPr>
              <w:pStyle w:val="Inhoudtabel"/>
              <w:rPr>
                <w:lang w:val="nl-BE"/>
              </w:rPr>
            </w:pPr>
            <w:r>
              <w:rPr>
                <w:lang w:val="nl-BE"/>
              </w:rPr>
            </w:r>
          </w:p>
        </w:tc>
      </w:tr>
      <w:tr>
        <w:trPr/>
        <w:tc>
          <w:tcPr>
            <w:tcW w:w="1185" w:type="dxa"/>
            <w:tcBorders>
              <w:left w:val="single" w:sz="2" w:space="0" w:color="000000"/>
              <w:bottom w:val="single" w:sz="2" w:space="0" w:color="000000"/>
            </w:tcBorders>
          </w:tcPr>
          <w:p>
            <w:pPr>
              <w:pStyle w:val="Inhoudtabel"/>
              <w:rPr>
                <w:lang w:val="nl-BE"/>
              </w:rPr>
            </w:pPr>
            <w:r>
              <w:rPr>
                <w:lang w:val="nl-BE"/>
              </w:rPr>
            </w:r>
          </w:p>
        </w:tc>
        <w:tc>
          <w:tcPr>
            <w:tcW w:w="2440" w:type="dxa"/>
            <w:tcBorders>
              <w:left w:val="single" w:sz="2" w:space="0" w:color="000000"/>
              <w:bottom w:val="single" w:sz="2" w:space="0" w:color="000000"/>
            </w:tcBorders>
          </w:tcPr>
          <w:p>
            <w:pPr>
              <w:pStyle w:val="Inhoudtabel"/>
              <w:rPr>
                <w:lang w:val="nl-BE"/>
              </w:rPr>
            </w:pPr>
            <w:r>
              <w:rPr>
                <w:lang w:val="nl-BE"/>
              </w:rPr>
            </w:r>
          </w:p>
        </w:tc>
        <w:tc>
          <w:tcPr>
            <w:tcW w:w="6350" w:type="dxa"/>
            <w:tcBorders>
              <w:left w:val="single" w:sz="2" w:space="0" w:color="000000"/>
              <w:bottom w:val="single" w:sz="2" w:space="0" w:color="000000"/>
              <w:right w:val="single" w:sz="2" w:space="0" w:color="000000"/>
            </w:tcBorders>
          </w:tcPr>
          <w:p>
            <w:pPr>
              <w:pStyle w:val="Inhoudtabel"/>
              <w:rPr>
                <w:lang w:val="nl-BE"/>
              </w:rPr>
            </w:pPr>
            <w:r>
              <w:rPr>
                <w:lang w:val="nl-BE"/>
              </w:rPr>
            </w:r>
          </w:p>
        </w:tc>
      </w:tr>
      <w:tr>
        <w:trPr/>
        <w:tc>
          <w:tcPr>
            <w:tcW w:w="1185" w:type="dxa"/>
            <w:tcBorders>
              <w:left w:val="single" w:sz="2" w:space="0" w:color="000000"/>
              <w:bottom w:val="single" w:sz="2" w:space="0" w:color="000000"/>
            </w:tcBorders>
          </w:tcPr>
          <w:p>
            <w:pPr>
              <w:pStyle w:val="Inhoudtabel"/>
              <w:rPr>
                <w:lang w:val="nl-BE"/>
              </w:rPr>
            </w:pPr>
            <w:r>
              <w:rPr>
                <w:lang w:val="nl-BE"/>
              </w:rPr>
            </w:r>
          </w:p>
        </w:tc>
        <w:tc>
          <w:tcPr>
            <w:tcW w:w="2440" w:type="dxa"/>
            <w:tcBorders>
              <w:left w:val="single" w:sz="2" w:space="0" w:color="000000"/>
              <w:bottom w:val="single" w:sz="2" w:space="0" w:color="000000"/>
            </w:tcBorders>
          </w:tcPr>
          <w:p>
            <w:pPr>
              <w:pStyle w:val="Inhoudtabel"/>
              <w:rPr>
                <w:lang w:val="nl-BE"/>
              </w:rPr>
            </w:pPr>
            <w:r>
              <w:rPr>
                <w:lang w:val="nl-BE"/>
              </w:rPr>
            </w:r>
          </w:p>
        </w:tc>
        <w:tc>
          <w:tcPr>
            <w:tcW w:w="6350" w:type="dxa"/>
            <w:tcBorders>
              <w:left w:val="single" w:sz="2" w:space="0" w:color="000000"/>
              <w:bottom w:val="single" w:sz="2" w:space="0" w:color="000000"/>
              <w:right w:val="single" w:sz="2" w:space="0" w:color="000000"/>
            </w:tcBorders>
          </w:tcPr>
          <w:p>
            <w:pPr>
              <w:pStyle w:val="Inhoudtabel"/>
              <w:rPr>
                <w:lang w:val="nl-BE"/>
              </w:rPr>
            </w:pPr>
            <w:r>
              <w:rPr>
                <w:lang w:val="nl-BE"/>
              </w:rPr>
            </w:r>
          </w:p>
        </w:tc>
      </w:tr>
      <w:tr>
        <w:trPr/>
        <w:tc>
          <w:tcPr>
            <w:tcW w:w="1185" w:type="dxa"/>
            <w:tcBorders>
              <w:left w:val="single" w:sz="2" w:space="0" w:color="000000"/>
              <w:bottom w:val="single" w:sz="2" w:space="0" w:color="000000"/>
            </w:tcBorders>
          </w:tcPr>
          <w:p>
            <w:pPr>
              <w:pStyle w:val="Inhoudtabel"/>
              <w:rPr>
                <w:lang w:val="nl-BE"/>
              </w:rPr>
            </w:pPr>
            <w:r>
              <w:rPr>
                <w:lang w:val="nl-BE"/>
              </w:rPr>
            </w:r>
          </w:p>
        </w:tc>
        <w:tc>
          <w:tcPr>
            <w:tcW w:w="2440" w:type="dxa"/>
            <w:tcBorders>
              <w:left w:val="single" w:sz="2" w:space="0" w:color="000000"/>
              <w:bottom w:val="single" w:sz="2" w:space="0" w:color="000000"/>
            </w:tcBorders>
          </w:tcPr>
          <w:p>
            <w:pPr>
              <w:pStyle w:val="Inhoudtabel"/>
              <w:rPr>
                <w:lang w:val="nl-BE"/>
              </w:rPr>
            </w:pPr>
            <w:r>
              <w:rPr>
                <w:lang w:val="nl-BE"/>
              </w:rPr>
            </w:r>
          </w:p>
        </w:tc>
        <w:tc>
          <w:tcPr>
            <w:tcW w:w="6350" w:type="dxa"/>
            <w:tcBorders>
              <w:left w:val="single" w:sz="2" w:space="0" w:color="000000"/>
              <w:bottom w:val="single" w:sz="2" w:space="0" w:color="000000"/>
              <w:right w:val="single" w:sz="2" w:space="0" w:color="000000"/>
            </w:tcBorders>
          </w:tcPr>
          <w:p>
            <w:pPr>
              <w:pStyle w:val="Inhoudtabel"/>
              <w:rPr>
                <w:lang w:val="nl-BE"/>
              </w:rPr>
            </w:pPr>
            <w:r>
              <w:rPr>
                <w:lang w:val="nl-BE"/>
              </w:rPr>
            </w:r>
          </w:p>
        </w:tc>
      </w:tr>
      <w:tr>
        <w:trPr/>
        <w:tc>
          <w:tcPr>
            <w:tcW w:w="1185" w:type="dxa"/>
            <w:tcBorders>
              <w:left w:val="single" w:sz="2" w:space="0" w:color="000000"/>
              <w:bottom w:val="single" w:sz="2" w:space="0" w:color="000000"/>
            </w:tcBorders>
          </w:tcPr>
          <w:p>
            <w:pPr>
              <w:pStyle w:val="Inhoudtabel"/>
              <w:rPr>
                <w:lang w:val="nl-BE"/>
              </w:rPr>
            </w:pPr>
            <w:r>
              <w:rPr>
                <w:lang w:val="nl-BE"/>
              </w:rPr>
            </w:r>
          </w:p>
        </w:tc>
        <w:tc>
          <w:tcPr>
            <w:tcW w:w="2440" w:type="dxa"/>
            <w:tcBorders>
              <w:left w:val="single" w:sz="2" w:space="0" w:color="000000"/>
              <w:bottom w:val="single" w:sz="2" w:space="0" w:color="000000"/>
            </w:tcBorders>
          </w:tcPr>
          <w:p>
            <w:pPr>
              <w:pStyle w:val="Inhoudtabel"/>
              <w:rPr>
                <w:lang w:val="nl-BE"/>
              </w:rPr>
            </w:pPr>
            <w:r>
              <w:rPr>
                <w:lang w:val="nl-BE"/>
              </w:rPr>
            </w:r>
          </w:p>
        </w:tc>
        <w:tc>
          <w:tcPr>
            <w:tcW w:w="6350" w:type="dxa"/>
            <w:tcBorders>
              <w:left w:val="single" w:sz="2" w:space="0" w:color="000000"/>
              <w:bottom w:val="single" w:sz="2" w:space="0" w:color="000000"/>
              <w:right w:val="single" w:sz="2" w:space="0" w:color="000000"/>
            </w:tcBorders>
          </w:tcPr>
          <w:p>
            <w:pPr>
              <w:pStyle w:val="Inhoudtabel"/>
              <w:rPr>
                <w:lang w:val="nl-BE"/>
              </w:rPr>
            </w:pPr>
            <w:r>
              <w:rPr>
                <w:lang w:val="nl-BE"/>
              </w:rPr>
            </w:r>
          </w:p>
        </w:tc>
      </w:tr>
      <w:tr>
        <w:trPr/>
        <w:tc>
          <w:tcPr>
            <w:tcW w:w="1185" w:type="dxa"/>
            <w:tcBorders>
              <w:left w:val="single" w:sz="2" w:space="0" w:color="000000"/>
              <w:bottom w:val="single" w:sz="2" w:space="0" w:color="000000"/>
            </w:tcBorders>
          </w:tcPr>
          <w:p>
            <w:pPr>
              <w:pStyle w:val="Inhoudtabel"/>
              <w:rPr>
                <w:lang w:val="nl-BE"/>
              </w:rPr>
            </w:pPr>
            <w:r>
              <w:rPr>
                <w:lang w:val="nl-BE"/>
              </w:rPr>
            </w:r>
          </w:p>
        </w:tc>
        <w:tc>
          <w:tcPr>
            <w:tcW w:w="2440" w:type="dxa"/>
            <w:tcBorders>
              <w:left w:val="single" w:sz="2" w:space="0" w:color="000000"/>
              <w:bottom w:val="single" w:sz="2" w:space="0" w:color="000000"/>
            </w:tcBorders>
          </w:tcPr>
          <w:p>
            <w:pPr>
              <w:pStyle w:val="Inhoudtabel"/>
              <w:rPr>
                <w:lang w:val="nl-BE"/>
              </w:rPr>
            </w:pPr>
            <w:r>
              <w:rPr>
                <w:lang w:val="nl-BE"/>
              </w:rPr>
            </w:r>
          </w:p>
        </w:tc>
        <w:tc>
          <w:tcPr>
            <w:tcW w:w="6350" w:type="dxa"/>
            <w:tcBorders>
              <w:left w:val="single" w:sz="2" w:space="0" w:color="000000"/>
              <w:bottom w:val="single" w:sz="2" w:space="0" w:color="000000"/>
              <w:right w:val="single" w:sz="2" w:space="0" w:color="000000"/>
            </w:tcBorders>
          </w:tcPr>
          <w:p>
            <w:pPr>
              <w:pStyle w:val="Inhoudtabel"/>
              <w:rPr>
                <w:lang w:val="nl-BE"/>
              </w:rPr>
            </w:pPr>
            <w:r>
              <w:rPr>
                <w:lang w:val="nl-BE"/>
              </w:rPr>
            </w:r>
          </w:p>
        </w:tc>
      </w:tr>
      <w:tr>
        <w:trPr/>
        <w:tc>
          <w:tcPr>
            <w:tcW w:w="1185" w:type="dxa"/>
            <w:tcBorders>
              <w:left w:val="single" w:sz="2" w:space="0" w:color="000000"/>
              <w:bottom w:val="single" w:sz="2" w:space="0" w:color="000000"/>
            </w:tcBorders>
          </w:tcPr>
          <w:p>
            <w:pPr>
              <w:pStyle w:val="Inhoudtabel"/>
              <w:rPr>
                <w:lang w:val="nl-BE"/>
              </w:rPr>
            </w:pPr>
            <w:r>
              <w:rPr>
                <w:lang w:val="nl-BE"/>
              </w:rPr>
            </w:r>
          </w:p>
        </w:tc>
        <w:tc>
          <w:tcPr>
            <w:tcW w:w="2440" w:type="dxa"/>
            <w:tcBorders>
              <w:left w:val="single" w:sz="2" w:space="0" w:color="000000"/>
              <w:bottom w:val="single" w:sz="2" w:space="0" w:color="000000"/>
            </w:tcBorders>
          </w:tcPr>
          <w:p>
            <w:pPr>
              <w:pStyle w:val="Inhoudtabel"/>
              <w:rPr>
                <w:lang w:val="nl-BE"/>
              </w:rPr>
            </w:pPr>
            <w:r>
              <w:rPr>
                <w:lang w:val="nl-BE"/>
              </w:rPr>
            </w:r>
          </w:p>
        </w:tc>
        <w:tc>
          <w:tcPr>
            <w:tcW w:w="6350" w:type="dxa"/>
            <w:tcBorders>
              <w:left w:val="single" w:sz="2" w:space="0" w:color="000000"/>
              <w:bottom w:val="single" w:sz="2" w:space="0" w:color="000000"/>
              <w:right w:val="single" w:sz="2" w:space="0" w:color="000000"/>
            </w:tcBorders>
          </w:tcPr>
          <w:p>
            <w:pPr>
              <w:pStyle w:val="Inhoudtabel"/>
              <w:rPr>
                <w:lang w:val="nl-BE"/>
              </w:rPr>
            </w:pPr>
            <w:r>
              <w:rPr>
                <w:lang w:val="nl-BE"/>
              </w:rPr>
            </w:r>
          </w:p>
        </w:tc>
      </w:tr>
      <w:tr>
        <w:trPr/>
        <w:tc>
          <w:tcPr>
            <w:tcW w:w="1185" w:type="dxa"/>
            <w:tcBorders>
              <w:left w:val="single" w:sz="2" w:space="0" w:color="000000"/>
              <w:bottom w:val="single" w:sz="2" w:space="0" w:color="000000"/>
            </w:tcBorders>
          </w:tcPr>
          <w:p>
            <w:pPr>
              <w:pStyle w:val="Inhoudtabel"/>
              <w:rPr>
                <w:lang w:val="nl-BE"/>
              </w:rPr>
            </w:pPr>
            <w:r>
              <w:rPr>
                <w:lang w:val="nl-BE"/>
              </w:rPr>
            </w:r>
          </w:p>
        </w:tc>
        <w:tc>
          <w:tcPr>
            <w:tcW w:w="2440" w:type="dxa"/>
            <w:tcBorders>
              <w:left w:val="single" w:sz="2" w:space="0" w:color="000000"/>
              <w:bottom w:val="single" w:sz="2" w:space="0" w:color="000000"/>
            </w:tcBorders>
          </w:tcPr>
          <w:p>
            <w:pPr>
              <w:pStyle w:val="Inhoudtabel"/>
              <w:rPr>
                <w:lang w:val="nl-BE"/>
              </w:rPr>
            </w:pPr>
            <w:r>
              <w:rPr>
                <w:lang w:val="nl-BE"/>
              </w:rPr>
            </w:r>
          </w:p>
        </w:tc>
        <w:tc>
          <w:tcPr>
            <w:tcW w:w="6350" w:type="dxa"/>
            <w:tcBorders>
              <w:left w:val="single" w:sz="2" w:space="0" w:color="000000"/>
              <w:bottom w:val="single" w:sz="2" w:space="0" w:color="000000"/>
              <w:right w:val="single" w:sz="2" w:space="0" w:color="000000"/>
            </w:tcBorders>
          </w:tcPr>
          <w:p>
            <w:pPr>
              <w:pStyle w:val="Inhoudtabel"/>
              <w:rPr>
                <w:lang w:val="nl-BE"/>
              </w:rPr>
            </w:pPr>
            <w:r>
              <w:rPr>
                <w:lang w:val="nl-BE"/>
              </w:rPr>
            </w:r>
          </w:p>
        </w:tc>
      </w:tr>
      <w:tr>
        <w:trPr/>
        <w:tc>
          <w:tcPr>
            <w:tcW w:w="1185" w:type="dxa"/>
            <w:tcBorders>
              <w:left w:val="single" w:sz="2" w:space="0" w:color="000000"/>
              <w:bottom w:val="single" w:sz="2" w:space="0" w:color="000000"/>
            </w:tcBorders>
          </w:tcPr>
          <w:p>
            <w:pPr>
              <w:pStyle w:val="Inhoudtabel"/>
              <w:rPr>
                <w:lang w:val="nl-BE"/>
              </w:rPr>
            </w:pPr>
            <w:r>
              <w:rPr>
                <w:lang w:val="nl-BE"/>
              </w:rPr>
            </w:r>
          </w:p>
        </w:tc>
        <w:tc>
          <w:tcPr>
            <w:tcW w:w="2440" w:type="dxa"/>
            <w:tcBorders>
              <w:left w:val="single" w:sz="2" w:space="0" w:color="000000"/>
              <w:bottom w:val="single" w:sz="2" w:space="0" w:color="000000"/>
            </w:tcBorders>
          </w:tcPr>
          <w:p>
            <w:pPr>
              <w:pStyle w:val="Inhoudtabel"/>
              <w:rPr>
                <w:lang w:val="nl-BE"/>
              </w:rPr>
            </w:pPr>
            <w:r>
              <w:rPr>
                <w:lang w:val="nl-BE"/>
              </w:rPr>
            </w:r>
          </w:p>
        </w:tc>
        <w:tc>
          <w:tcPr>
            <w:tcW w:w="6350" w:type="dxa"/>
            <w:tcBorders>
              <w:left w:val="single" w:sz="2" w:space="0" w:color="000000"/>
              <w:bottom w:val="single" w:sz="2" w:space="0" w:color="000000"/>
              <w:right w:val="single" w:sz="2" w:space="0" w:color="000000"/>
            </w:tcBorders>
          </w:tcPr>
          <w:p>
            <w:pPr>
              <w:pStyle w:val="Inhoudtabel"/>
              <w:rPr>
                <w:lang w:val="nl-BE"/>
              </w:rPr>
            </w:pPr>
            <w:r>
              <w:rPr>
                <w:lang w:val="nl-BE"/>
              </w:rPr>
            </w:r>
          </w:p>
        </w:tc>
      </w:tr>
    </w:tbl>
    <w:p>
      <w:pPr>
        <w:pStyle w:val="Normal"/>
        <w:rPr>
          <w:lang w:val="nl-BE"/>
        </w:rPr>
      </w:pPr>
      <w:r>
        <w:rPr/>
      </w:r>
    </w:p>
    <w:sectPr>
      <w:headerReference w:type="default" r:id="rId3"/>
      <w:footerReference w:type="default" r:id="rId4"/>
      <w:type w:val="nextPage"/>
      <w:pgSz w:w="12240" w:h="15840"/>
      <w:pgMar w:left="1134" w:right="1134" w:header="1134" w:top="1693" w:footer="1134" w:bottom="1969"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pPr>
    <w:r>
      <w:rPr/>
      <w:t>Norcon_MSD_7_9_1</w:t>
      <w:tab/>
      <w:t>V1.</w:t>
    </w:r>
    <w:r>
      <w:rPr>
        <w:rFonts w:eastAsia="SimSun" w:cs="Mangal"/>
        <w:color w:val="auto"/>
        <w:kern w:val="2"/>
        <w:sz w:val="24"/>
        <w:szCs w:val="24"/>
        <w:lang w:val="en-US" w:eastAsia="zh-CN" w:bidi="hi-IN"/>
      </w:rPr>
      <w:t>3</w:t>
    </w:r>
    <w:r>
      <w:rPr/>
      <w:t xml:space="preserve"> 202</w:t>
    </w:r>
    <w:r>
      <w:rPr>
        <w:rFonts w:eastAsia="SimSun" w:cs="Mangal"/>
        <w:color w:val="auto"/>
        <w:kern w:val="2"/>
        <w:sz w:val="24"/>
        <w:szCs w:val="24"/>
        <w:lang w:val="en-US" w:eastAsia="zh-CN" w:bidi="hi-IN"/>
      </w:rPr>
      <w:t>2</w:t>
    </w:r>
    <w:r>
      <w:rPr/>
      <w:t>/</w:t>
    </w:r>
    <w:r>
      <w:rPr>
        <w:rFonts w:eastAsia="SimSun" w:cs="Mangal"/>
        <w:color w:val="auto"/>
        <w:kern w:val="2"/>
        <w:sz w:val="24"/>
        <w:szCs w:val="24"/>
        <w:lang w:val="en-US" w:eastAsia="zh-CN" w:bidi="hi-IN"/>
      </w:rPr>
      <w:t>0</w:t>
    </w:r>
    <w:r>
      <w:rPr>
        <w:rFonts w:eastAsia="SimSun" w:cs="Mangal"/>
        <w:color w:val="auto"/>
        <w:kern w:val="2"/>
        <w:sz w:val="24"/>
        <w:szCs w:val="24"/>
        <w:lang w:val="en-US" w:eastAsia="zh-CN" w:bidi="hi-IN"/>
      </w:rPr>
      <w:t>4</w:t>
    </w:r>
    <w:r>
      <w:rPr/>
      <w:t>/</w:t>
    </w:r>
    <w:r>
      <w:rPr>
        <w:rFonts w:eastAsia="SimSun" w:cs="Mangal"/>
        <w:color w:val="auto"/>
        <w:kern w:val="2"/>
        <w:sz w:val="24"/>
        <w:szCs w:val="24"/>
        <w:lang w:val="en-US" w:eastAsia="zh-CN" w:bidi="hi-IN"/>
      </w:rPr>
      <w:t>14</w:t>
    </w:r>
    <w:r>
      <w:rPr/>
      <w:tab/>
    </w:r>
    <w:r>
      <w:rPr/>
      <w:fldChar w:fldCharType="begin"/>
    </w:r>
    <w:r>
      <w:rPr/>
      <w:instrText> PAGE </w:instrText>
    </w:r>
    <w:r>
      <w:rPr/>
      <w:fldChar w:fldCharType="separate"/>
    </w:r>
    <w:r>
      <w:rPr/>
      <w:t>2</w:t>
    </w:r>
    <w:r>
      <w:rPr/>
      <w:fldChar w:fldCharType="end"/>
    </w:r>
    <w:r>
      <w:rPr/>
      <w:tab/>
      <w:t>Uncontrolled when printed</w:t>
      <w:br/>
      <w:tab/>
    </w:r>
    <w:r>
      <w:rPr>
        <w:color w:val="141414"/>
      </w:rPr>
      <w:t>Document controlled only on Norcon BV restricted fileserver per Norcon_MSD_8_3</w:t>
    </w: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drawing>
        <wp:anchor behindDoc="1" distT="0" distB="0" distL="0" distR="0" simplePos="0" locked="0" layoutInCell="1" allowOverlap="1" relativeHeight="5">
          <wp:simplePos x="0" y="0"/>
          <wp:positionH relativeFrom="column">
            <wp:align>center</wp:align>
          </wp:positionH>
          <wp:positionV relativeFrom="paragraph">
            <wp:posOffset>635</wp:posOffset>
          </wp:positionV>
          <wp:extent cx="1247140" cy="300990"/>
          <wp:effectExtent l="0" t="0" r="0" b="0"/>
          <wp:wrapSquare wrapText="largest"/>
          <wp:docPr id="1" name="Afbeeldin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2" descr=""/>
                  <pic:cNvPicPr>
                    <a:picLocks noChangeAspect="1" noChangeArrowheads="1"/>
                  </pic:cNvPicPr>
                </pic:nvPicPr>
                <pic:blipFill>
                  <a:blip r:embed="rId1"/>
                  <a:stretch>
                    <a:fillRect/>
                  </a:stretch>
                </pic:blipFill>
                <pic:spPr bwMode="auto">
                  <a:xfrm>
                    <a:off x="0" y="0"/>
                    <a:ext cx="1247140" cy="3009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SimSun" w:cs="Mangal"/>
      <w:color w:val="auto"/>
      <w:kern w:val="2"/>
      <w:sz w:val="24"/>
      <w:szCs w:val="24"/>
      <w:lang w:val="en-US" w:eastAsia="zh-CN" w:bidi="hi-IN"/>
    </w:rPr>
  </w:style>
  <w:style w:type="paragraph" w:styleId="Kop1">
    <w:name w:val="Heading 1"/>
    <w:basedOn w:val="Kop"/>
    <w:next w:val="Tekstblok"/>
    <w:uiPriority w:val="9"/>
    <w:qFormat/>
    <w:pPr>
      <w:numPr>
        <w:ilvl w:val="0"/>
        <w:numId w:val="1"/>
      </w:numPr>
      <w:outlineLvl w:val="0"/>
    </w:pPr>
    <w:rPr>
      <w:b/>
      <w:bCs/>
      <w:sz w:val="36"/>
      <w:szCs w:val="36"/>
    </w:rPr>
  </w:style>
  <w:style w:type="character" w:styleId="DefaultParagraphFont" w:default="1">
    <w:name w:val="Default Paragraph Font"/>
    <w:uiPriority w:val="1"/>
    <w:semiHidden/>
    <w:unhideWhenUsed/>
    <w:qFormat/>
    <w:rPr/>
  </w:style>
  <w:style w:type="character" w:styleId="Opsommingstekens">
    <w:name w:val="Opsommingstekens"/>
    <w:qFormat/>
    <w:rPr>
      <w:rFonts w:ascii="OpenSymbol" w:hAnsi="OpenSymbol" w:eastAsia="OpenSymbol" w:cs="OpenSymbol"/>
    </w:rPr>
  </w:style>
  <w:style w:type="character" w:styleId="Internetkoppeling">
    <w:name w:val="Internetkoppeling"/>
    <w:rPr>
      <w:color w:val="000080"/>
      <w:u w:val="single"/>
      <w:lang w:val="zxx" w:eastAsia="zxx" w:bidi="zxx"/>
    </w:rPr>
  </w:style>
  <w:style w:type="paragraph" w:styleId="Kop" w:customStyle="1">
    <w:name w:val="Kop"/>
    <w:basedOn w:val="Normal"/>
    <w:next w:val="Tekstblok"/>
    <w:qFormat/>
    <w:pPr>
      <w:keepNext w:val="true"/>
      <w:spacing w:before="240" w:after="120"/>
    </w:pPr>
    <w:rPr>
      <w:rFonts w:ascii="Liberation Sans" w:hAnsi="Liberation Sans" w:eastAsia="Microsoft YaHei"/>
      <w:sz w:val="28"/>
      <w:szCs w:val="28"/>
    </w:rPr>
  </w:style>
  <w:style w:type="paragraph" w:styleId="Tekstblok">
    <w:name w:val="Body Text"/>
    <w:basedOn w:val="Normal"/>
    <w:pPr>
      <w:spacing w:lineRule="auto" w:line="288" w:before="0" w:after="140"/>
    </w:pPr>
    <w:rPr/>
  </w:style>
  <w:style w:type="paragraph" w:styleId="Lijst">
    <w:name w:val="List"/>
    <w:basedOn w:val="Tekstblok"/>
    <w:pPr/>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paragraph" w:styleId="Kopenvoettekst" w:customStyle="1">
    <w:name w:val="Kop- en voettekst"/>
    <w:basedOn w:val="Normal"/>
    <w:qFormat/>
    <w:pPr>
      <w:suppressLineNumbers/>
      <w:tabs>
        <w:tab w:val="clear" w:pos="709"/>
        <w:tab w:val="center" w:pos="4986" w:leader="none"/>
        <w:tab w:val="right" w:pos="9972" w:leader="none"/>
      </w:tabs>
    </w:pPr>
    <w:rPr/>
  </w:style>
  <w:style w:type="paragraph" w:styleId="Koptekst">
    <w:name w:val="Header"/>
    <w:basedOn w:val="Kopenvoettekst"/>
    <w:pPr/>
    <w:rPr/>
  </w:style>
  <w:style w:type="paragraph" w:styleId="Voettekst">
    <w:name w:val="Footer"/>
    <w:basedOn w:val="Kopenvoettekst"/>
    <w:pPr/>
    <w:rPr/>
  </w:style>
  <w:style w:type="paragraph" w:styleId="Inhoudtabel" w:customStyle="1">
    <w:name w:val="Inhoud tabel"/>
    <w:basedOn w:val="Normal"/>
    <w:qFormat/>
    <w:pPr>
      <w:suppressLineNumbers/>
    </w:pPr>
    <w:rPr/>
  </w:style>
  <w:style w:type="paragraph" w:styleId="Subtitel">
    <w:name w:val="Subtitle"/>
    <w:basedOn w:val="Kop"/>
    <w:next w:val="Tekstblok"/>
    <w:uiPriority w:val="11"/>
    <w:qFormat/>
    <w:pPr>
      <w:spacing w:before="60" w:after="120"/>
      <w:jc w:val="center"/>
    </w:pPr>
    <w:rPr>
      <w:sz w:val="36"/>
      <w:szCs w:val="36"/>
    </w:rPr>
  </w:style>
  <w:style w:type="paragraph" w:styleId="Titel">
    <w:name w:val="Title"/>
    <w:basedOn w:val="Kop"/>
    <w:next w:val="Tekstblok"/>
    <w:uiPriority w:val="10"/>
    <w:qFormat/>
    <w:pPr>
      <w:jc w:val="center"/>
    </w:pPr>
    <w:rPr>
      <w:b/>
      <w:bCs/>
      <w:sz w:val="56"/>
      <w:szCs w:val="56"/>
    </w:rPr>
  </w:style>
  <w:style w:type="paragraph" w:styleId="ListParagraph">
    <w:name w:val="List Paragraph"/>
    <w:basedOn w:val="Normal"/>
    <w:uiPriority w:val="34"/>
    <w:qFormat/>
    <w:rsid w:val="00b640f1"/>
    <w:pPr>
      <w:suppressAutoHyphens w:val="false"/>
      <w:spacing w:lineRule="auto" w:line="259" w:before="0" w:after="160"/>
      <w:ind w:left="720" w:hanging="0"/>
      <w:contextualSpacing/>
    </w:pPr>
    <w:rPr>
      <w:rFonts w:ascii="Calibri" w:hAnsi="Calibri" w:eastAsia="Calibri" w:cs="" w:asciiTheme="minorHAnsi" w:cstheme="minorBidi" w:eastAsiaTheme="minorHAnsi" w:hAnsiTheme="minorHAnsi"/>
      <w:kern w:val="0"/>
      <w:sz w:val="22"/>
      <w:szCs w:val="22"/>
      <w:lang w:val="nl-BE" w:eastAsia="en-US" w:bidi="ar-SA"/>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norcon.b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Application>LibreOffice/6.4.4.2$Windows_X86_64 LibreOffice_project/3d775be2011f3886db32dfd395a6a6d1ca2630ff</Application>
  <Pages>4</Pages>
  <Words>672</Words>
  <Characters>4141</Characters>
  <CharactersWithSpaces>4785</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2021-11-02T15:30:00Z</dcterms:created>
  <dc:creator>Alexander Mouton</dc:creator>
  <dc:description/>
  <dc:language>nl-BE</dc:language>
  <cp:lastModifiedBy/>
  <dcterms:modified xsi:type="dcterms:W3CDTF">2022-04-14T23:39:40Z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